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E" w:rsidRDefault="0092051E" w:rsidP="00580D3B">
      <w:pPr>
        <w:pStyle w:val="Testocommen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Innovazione sotto pressione? il caotico sviluppo delle politiche attive del lavoro per migranti e rifugiati</w:t>
      </w:r>
    </w:p>
    <w:p w:rsidR="00177675" w:rsidRDefault="00177675" w:rsidP="00580D3B">
      <w:pPr>
        <w:pStyle w:val="Testocommen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Riflessioni intorno a un recente seminario </w:t>
      </w:r>
    </w:p>
    <w:p w:rsidR="00177675" w:rsidRPr="00580D3B" w:rsidRDefault="00177675" w:rsidP="00580D3B">
      <w:pPr>
        <w:pStyle w:val="Testocommen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di Leila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Giannetto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e Gaia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Testore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</w:p>
    <w:p w:rsidR="0042499B" w:rsidRPr="00580D3B" w:rsidRDefault="0042499B" w:rsidP="00580D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Sia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che si parli di “migranti economici” che di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rifugiati, da tempo la ricerca ci ha insegnato come il lavoro rappresenti la 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principale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porta di ingresso 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in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una nuova comunità. 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Specialmente a</w:t>
      </w:r>
      <w:r w:rsidR="006605FF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partire dalla seconda decade degli anni 2000,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 d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ocumenti programmatici nazionali ed </w:t>
      </w:r>
      <w:hyperlink r:id="rId6" w:history="1">
        <w:r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europei</w:t>
        </w:r>
      </w:hyperlink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si sono concentrati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sul </w:t>
      </w:r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sostegno a</w:t>
      </w:r>
      <w:r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misure e strategie </w:t>
      </w:r>
      <w:r w:rsidR="006605FF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volte a facilitare</w:t>
      </w:r>
      <w:r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l'integrazione</w:t>
      </w:r>
      <w:r w:rsidR="006605FF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dei cittadini stranieri, </w:t>
      </w:r>
      <w:r w:rsidR="00012901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promuovendo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soprattutto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l'apprendimento della lingua nazionale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il riconoscimento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elle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competenze acquisite nel paese di origine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che si fa fatica a vedere riconosciute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nel paese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di destinazione</w:t>
      </w:r>
      <w:r w:rsidR="006605F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)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 l’avvio di tirocini e di percorsi di formazione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Nello stesso periodo, si sono moltiplicati gli </w:t>
      </w:r>
      <w:hyperlink r:id="rId7" w:history="1">
        <w:r w:rsidR="00471E00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interventi</w:t>
        </w:r>
      </w:hyperlink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realizzati da enti privati, anche in partnership con il pubblico,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volti a f</w:t>
      </w:r>
      <w:bookmarkStart w:id="0" w:name="_GoBack"/>
      <w:bookmarkEnd w:id="0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acilitare l'accesso al mercato del lavoro per i cittadini di origine straniera. </w:t>
      </w:r>
    </w:p>
    <w:p w:rsidR="00535A05" w:rsidRPr="00580D3B" w:rsidRDefault="001B327B" w:rsidP="00580D3B">
      <w:pPr>
        <w:pStyle w:val="Nessunaspaziatura"/>
        <w:spacing w:after="160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1B327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Gli ultimi anni sono stati caratterizzati dall’aumento del numero di ingressi per motivi umanitari, a scapito dei flussi di lavoro. La repentina variazione</w:t>
      </w:r>
      <w:r w:rsidDel="001B327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del numero di richieste di protezione, soprattutto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 il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2015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il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2017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se da una parte </w:t>
      </w:r>
      <w:r w:rsidR="00EF425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ha messo in luce le numerose fragilità del sistema di accoglienza e di integrazione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italiano,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ha dato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anche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la spinta 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lo stanziamento di fondi che sono stati e continuano ad essere essenziali 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per la sperimentazione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l’innovazione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 quegli anni 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le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repentine mutazioni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avevano</w:t>
      </w:r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spostato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l’attenzione</w:t>
      </w:r>
      <w:r w:rsidR="00EF425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sui 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migranti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richiedenti asilo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ora, con il calo degli arrivi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ma anche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con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gli effetti del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la pandemia,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decreto rilancio e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la regolarizzazione (</w:t>
      </w:r>
      <w:hyperlink r:id="rId8" w:history="1">
        <w:r w:rsidR="00607E1A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 xml:space="preserve">circa </w:t>
        </w:r>
        <w:r w:rsidR="00535A05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2</w:t>
        </w:r>
        <w:r w:rsidR="00607E1A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07.000 domande</w:t>
        </w:r>
      </w:hyperlink>
      <w:r w:rsidR="00607E1A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)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607E1A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altri temi stanno acquisendo rilevanza.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 le nuove sfide troviamo la necessità di</w:t>
      </w:r>
      <w:r w:rsidR="00293C05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mantenere a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lavoro i regolarizzati, 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di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mitigare l’impatto dell’emergenza pandemica e soprattutto 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di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non dimenticare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le specificità dei richiedenti asilo e rifugiati che rimangono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le categorie più a rischio tra gli stranieri</w:t>
      </w:r>
      <w:r w:rsidR="00580D3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65118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hyperlink r:id="rId9" w:history="1">
        <w:r w:rsidR="00651185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non comunitari</w:t>
        </w:r>
      </w:hyperlink>
      <w:r w:rsidR="003E151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</w:p>
    <w:p w:rsidR="008A40DB" w:rsidRPr="00580D3B" w:rsidRDefault="00A00683" w:rsidP="00580D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La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42499B" w:rsidRPr="00863AAC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Sessione 26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"</w:t>
      </w:r>
      <w:r w:rsidR="0042499B" w:rsidRPr="00580D3B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Innovazione sotto pressione? il caotico sviluppo delle politiche attive del lavoro per migranti e rifugiati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" organizzata da FIERI nel quadro della conferenza </w:t>
      </w:r>
      <w:hyperlink r:id="rId10" w:history="1">
        <w:proofErr w:type="spellStart"/>
        <w:r w:rsidR="00A53EAA" w:rsidRPr="00863AAC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Espanet</w:t>
        </w:r>
        <w:proofErr w:type="spellEnd"/>
        <w:r w:rsidR="00A53EAA" w:rsidRPr="00863AAC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 xml:space="preserve"> I</w:t>
        </w:r>
        <w:r w:rsidR="0042499B" w:rsidRPr="00863AAC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talia 2020</w:t>
        </w:r>
      </w:hyperlink>
      <w:r w:rsidR="00A53EAA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ha 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guarda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to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al</w:t>
      </w:r>
      <w:r w:rsidR="00A53EAA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frammentato panorama delle politiche di 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inserimento lavorativo d</w:t>
      </w:r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ei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cittadini</w:t>
      </w:r>
      <w:r w:rsidR="000A7FC4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stranieri arrivati dopo il 2014</w:t>
      </w:r>
      <w:r w:rsidR="007B686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A53EAA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Scopo della sessione è stato proprio quello di volgere lo sguardo a q</w:t>
      </w:r>
      <w:r w:rsidR="008A3A1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uesto 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ambito di intervento</w:t>
      </w:r>
      <w:r w:rsidR="008A3A1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in 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continuo cambiamento</w:t>
      </w:r>
      <w:r w:rsidR="008A3A1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che rappresenta un campo di azione condiviso </w:t>
      </w:r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tradizionali attori delle politiche per il lavoro, come centri per l'impiego e sindacati, </w:t>
      </w:r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ed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enti 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del terzo settore 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ch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si occupano di accoglienza e integrazione. </w:t>
      </w:r>
      <w:r w:rsidR="000A7FC4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</w:t>
      </w:r>
      <w:r w:rsidR="000A7FC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</w:t>
      </w:r>
      <w:r w:rsidR="007257B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sperimentazioni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proofErr w:type="spellStart"/>
      <w:r w:rsidR="000A7FC4" w:rsidRPr="0073536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bottom-up</w:t>
      </w:r>
      <w:proofErr w:type="spellEnd"/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qui sviluppate</w:t>
      </w:r>
      <w:r w:rsidR="000A7FC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sono state numerose</w:t>
      </w:r>
      <w:r w:rsidR="007257B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BB1A03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sebbene avvenute</w:t>
      </w:r>
      <w:r w:rsidR="004249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spesso in assenza di un quadro organico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 A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livello nazionale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infatti,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il </w:t>
      </w:r>
      <w:hyperlink r:id="rId11" w:history="1">
        <w:r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Piano Nazionale Integrazione</w:t>
        </w:r>
      </w:hyperlink>
      <w:r w:rsidR="00735366">
        <w:rPr>
          <w:rStyle w:val="Collegamentoipertestuale"/>
          <w:rFonts w:ascii="Arial" w:eastAsia="Times New Roman" w:hAnsi="Arial" w:cs="Arial"/>
          <w:iCs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siglato nel 2017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non ha avuto un impatto sistemico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Tuttavia</w:t>
      </w:r>
      <w:r w:rsidR="0001290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la confusione regna anche </w:t>
      </w:r>
      <w:r w:rsidR="00471E0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 livello locale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dove </w:t>
      </w:r>
      <w:r w:rsidR="000A7FC4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capita</w:t>
      </w:r>
      <w:r w:rsidR="00424D7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0A7FC4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424D7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ad esempio, </w:t>
      </w:r>
      <w:r w:rsidR="000A7FC4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che </w:t>
      </w:r>
      <w:r w:rsidR="00424D7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richiedenti asilo residenti nella stessa provincia (o comune) accolti da enti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gestori</w:t>
      </w:r>
      <w:r w:rsidR="00863AAC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424D7F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diversi abbiano accesso a servizi di integrazione </w:t>
      </w:r>
      <w:r w:rsidR="00535A0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completamente di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fferenti</w:t>
      </w:r>
      <w:r w:rsidR="00E102DD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863AAC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8A40D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Situazione non certo aiutata dalle travagliate vicende delle </w:t>
      </w:r>
      <w:hyperlink r:id="rId12" w:history="1">
        <w:r w:rsidR="008A40DB" w:rsidRPr="00664209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riforme dei servizi del lavoro</w:t>
        </w:r>
      </w:hyperlink>
      <w:r w:rsidR="008A40D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del </w:t>
      </w:r>
      <w:hyperlink r:id="rId13" w:history="1">
        <w:r w:rsidR="008A40DB" w:rsidRPr="00580D3B">
          <w:rPr>
            <w:rStyle w:val="Collegamentoipertestuale"/>
            <w:rFonts w:ascii="Arial" w:eastAsia="Times New Roman" w:hAnsi="Arial" w:cs="Arial"/>
            <w:iCs/>
            <w:sz w:val="24"/>
            <w:szCs w:val="24"/>
            <w:lang w:eastAsia="it-IT"/>
          </w:rPr>
          <w:t>sistema dell’accoglienza</w:t>
        </w:r>
      </w:hyperlink>
      <w:r w:rsidR="00664209">
        <w:rPr>
          <w:rStyle w:val="Collegamentoipertestuale"/>
          <w:rFonts w:ascii="Arial" w:eastAsia="Times New Roman" w:hAnsi="Arial" w:cs="Arial"/>
          <w:iCs/>
          <w:sz w:val="24"/>
          <w:szCs w:val="24"/>
          <w:lang w:eastAsia="it-IT"/>
        </w:rPr>
        <w:t>.</w:t>
      </w:r>
      <w:r w:rsidR="008A40D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</w:p>
    <w:p w:rsidR="003555EE" w:rsidRPr="00580D3B" w:rsidRDefault="0042499B" w:rsidP="00580D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 partire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dunque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dalla descrizione </w:t>
      </w:r>
      <w:r w:rsidR="00F22ED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del “caotico sviluppo”</w:t>
      </w:r>
      <w:r w:rsidR="008A40D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F22ED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delle politiche per l’integrazione nel mercato del lavoro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la sessione ha proposto a un gruppo di ricercatori e 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operatori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di riflettere sulle misure</w:t>
      </w:r>
      <w:r w:rsidR="007B686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innovative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portate avanti </w:t>
      </w:r>
      <w:r w:rsidR="00F22ED5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 Italia per migranti, richiedenti asilo e rifugiati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 sulla loro efficacia</w:t>
      </w:r>
      <w:r w:rsidR="007B6860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3555EE" w:rsidRPr="00580D3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0E4A93" w:rsidRPr="00E277E9" w:rsidRDefault="0042499B" w:rsidP="00E277E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Il dibattito ha preso il via da un interrogativo 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radicale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sollevato da Maria </w:t>
      </w:r>
      <w:proofErr w:type="spellStart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Perino</w:t>
      </w:r>
      <w:proofErr w:type="spellEnd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Michael </w:t>
      </w:r>
      <w:proofErr w:type="spellStart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Eve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(Università del Piemonte Orientale)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: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"e se le strategie e le misure fino a questo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lastRenderedPageBreak/>
        <w:t xml:space="preserve">momento adottate non fossero quelle adatte?" </w:t>
      </w:r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“e se si stesse perdendo di vista un aspetto centrale del problema?”. Partendo da una rassegna dei fattori che contribuiscono a spiegare il </w:t>
      </w:r>
      <w:proofErr w:type="spellStart"/>
      <w:r w:rsidR="00E277E9" w:rsidRPr="00E277E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refugee</w:t>
      </w:r>
      <w:proofErr w:type="spellEnd"/>
      <w:r w:rsidR="00E277E9" w:rsidRPr="00E277E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gap</w:t>
      </w:r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– ovvero il sistematico svantaggio lavorativo dei rifugiati, non solo rispetto ai nativi ma anche ai migranti </w:t>
      </w:r>
      <w:r w:rsid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giunti in Italia per motivi di </w:t>
      </w:r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</w:t>
      </w:r>
      <w:r w:rsid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</w:t>
      </w:r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voro-, Maria </w:t>
      </w:r>
      <w:proofErr w:type="spellStart"/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Perino</w:t>
      </w:r>
      <w:proofErr w:type="spellEnd"/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Michael </w:t>
      </w:r>
      <w:proofErr w:type="spellStart"/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Eve</w:t>
      </w:r>
      <w:proofErr w:type="spellEnd"/>
      <w:r w:rsidR="00E277E9" w:rsidRP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hanno posto l’attenzione sulle fragilità delle reti sociali di cui possono usufruire i migranti forzati. All’interno del loro contributo si osserva come questo aspetto sia solo marginalmente toccato dalle misure messe in atto in Italia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7855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</w:p>
    <w:p w:rsidR="0042499B" w:rsidRPr="00580D3B" w:rsidRDefault="0042499B" w:rsidP="00580D3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Sono seguiti interessanti contributi che hanno aiutato a mettere in luce quelle dinamiche che rendono l'ambito delle politiche attive per il lavoro rivolte al target dei migranti e rifugiati un settore sotto pressione ma ricco di sperimentazioni. Diverse sono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infatti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le forze che rendono il lavoro degli operatori e dei funzionari impiegati nel settore particolarmente complesso. </w:t>
      </w:r>
      <w:r w:rsidR="007855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 queste, l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a precarietà delle opportunità di lavoro che più facilmente sono offerte 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a migranti e rifugiati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la difficoltà di tutela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dei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diritti in settori quali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l’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agric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o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ltura,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la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logistica e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l’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assistenza familiare.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 questo proposito l’intervento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realizzato da Ilaria Ippolito, Martina </w:t>
      </w:r>
      <w:proofErr w:type="spellStart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Sabba</w:t>
      </w:r>
      <w:r w:rsidR="008A40D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ini</w:t>
      </w:r>
      <w:proofErr w:type="spellEnd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Antonio </w:t>
      </w:r>
      <w:proofErr w:type="spellStart"/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Soggia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(IRES</w:t>
      </w:r>
      <w:r w:rsidR="00E00646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Piemonte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)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ha offerto un utile spaccato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sul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la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complessità che si incontra </w:t>
      </w:r>
      <w:r w:rsidR="009D211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nella programmazione e realizzazione di interventi </w:t>
      </w:r>
      <w:r w:rsidR="00A378C2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tutela dei diritti dei migranti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E102DD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nel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settore</w:t>
      </w:r>
      <w:r w:rsidR="00F20A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agricolo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presentando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una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panoramica dettagliata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dei progetti nati 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nel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Saluzz</w:t>
      </w:r>
      <w:r w:rsidR="00F20A5E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ese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negli ultimi anni.</w:t>
      </w:r>
    </w:p>
    <w:p w:rsidR="00800D91" w:rsidRPr="00580D3B" w:rsidRDefault="00A378C2" w:rsidP="00580D3B">
      <w:pPr>
        <w:pStyle w:val="Nessunaspaziatura"/>
        <w:spacing w:after="160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Un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ulteriore</w:t>
      </w:r>
      <w:r w:rsidR="000E4A9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elemento di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difficoltà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nasce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dal fatto che gli interventi in questo campo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usufruiscono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perlopiù d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finanziamenti mirati, spesso legati a progetti europei. Ne consegue una cronica 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mancanza di istituzionalizzazione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con 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interventi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limitati a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misure puntuali</w:t>
      </w:r>
      <w:r w:rsidR="00AD6196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circoscritte 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nel tempo.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Anche quando i soggetti esecutori siano determinati a rinnovare e consolidare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gli interventi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l’assenza di meccanismi di </w:t>
      </w:r>
      <w:proofErr w:type="spellStart"/>
      <w:r w:rsidR="00FD7F3C" w:rsidRPr="00735366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up-scaling</w:t>
      </w:r>
      <w:proofErr w:type="spellEnd"/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costringe a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una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costante e impegnativa attività di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ricerca di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fonti di finanziamento, 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ostacolando l’apprendimento e la diffusione di pratiche risultate funzionali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Gli interventi di Giorgia </w:t>
      </w:r>
      <w:proofErr w:type="spellStart"/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Trasciani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</w:t>
      </w:r>
      <w:proofErr w:type="spellStart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Université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proofErr w:type="spellStart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Aix-Marseille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)</w:t>
      </w:r>
      <w:r w:rsidR="000047ED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di Mattia </w:t>
      </w:r>
      <w:proofErr w:type="spellStart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Collini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(Università di Firenze) hanno contribuito a illustrare queste dinamiche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proofErr w:type="spellStart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Collini</w:t>
      </w:r>
      <w:proofErr w:type="spellEnd"/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 ha posto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l’accento sulla capacità delle reti di mobilitare </w:t>
      </w:r>
      <w:proofErr w:type="spellStart"/>
      <w:r w:rsidR="00800D91" w:rsidRPr="006605FF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stakeholders</w:t>
      </w:r>
      <w:proofErr w:type="spellEnd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diversi con l’intento comune di sperimentare forme nuove di servizi di inserimento lavorativo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Con riferimento alla realtà campana, invece, </w:t>
      </w:r>
      <w:proofErr w:type="spellStart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Trasciani</w:t>
      </w:r>
      <w:proofErr w:type="spellEnd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ha analizzato le dinamiche disfunzionali legate alla concatenazione di progetti successivi, 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con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conseguente 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frammentazione territoriale</w:t>
      </w:r>
      <w:r w:rsidR="0098280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di partenariato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degli interventi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evidenzia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to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come nell’operato dei responsabili degli interventi </w:t>
      </w:r>
      <w:r w:rsidR="0098280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stessi 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vengano a inserirsi logiche più legate alla progettazione e alla ricerca delle risorse che al benessere del beneficiario, </w:t>
      </w:r>
      <w:r w:rsidR="0098280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elementi 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che senza essere per forza in contrasto </w:t>
      </w:r>
      <w:r w:rsidR="0098280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tra di loro 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deviano</w:t>
      </w:r>
      <w:r w:rsidR="0098280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però</w:t>
      </w:r>
      <w:r w:rsidR="00623A44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l’azione degli operatori.</w:t>
      </w:r>
    </w:p>
    <w:p w:rsidR="002A3C07" w:rsidRPr="00580D3B" w:rsidRDefault="008A40DB" w:rsidP="00580D3B">
      <w:pPr>
        <w:pStyle w:val="Nessunaspaziatura"/>
        <w:spacing w:after="160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  <w:r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L’emergenza pandemica e le misure ad essa collegate 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generano ovviamente nuove sfide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 Attraverso i dati raccolti proprio nel periodo marzo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E00646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- aprile 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2020</w:t>
      </w:r>
      <w:r w:rsidR="003E7941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in Piemonte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 i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 contributo di Giulia Henry e Giorgio </w:t>
      </w:r>
      <w:proofErr w:type="spellStart"/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Vernoni</w:t>
      </w:r>
      <w:proofErr w:type="spellEnd"/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(IRES</w:t>
      </w:r>
      <w:r w:rsidR="00B20B4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Piemonte</w:t>
      </w:r>
      <w:r w:rsidR="00FD7F3C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)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C84D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ha fornito un’ulteriore evidenza empirica </w:t>
      </w:r>
      <w:r w:rsidR="00C84D9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rispetto al fenomeno </w:t>
      </w:r>
      <w:r w:rsidR="00C84D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del </w:t>
      </w:r>
      <w:proofErr w:type="spellStart"/>
      <w:r w:rsidR="00C84D9B" w:rsidRPr="006605FF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refugee</w:t>
      </w:r>
      <w:proofErr w:type="spellEnd"/>
      <w:r w:rsidR="00C84D9B" w:rsidRPr="006605FF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gap</w:t>
      </w:r>
      <w:r w:rsidR="00C84D9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.</w:t>
      </w:r>
      <w:r w:rsidR="00C84D9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Lo studio </w:t>
      </w:r>
      <w:r w:rsidR="00800D91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ha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evidenziato 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che, nonostante 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 settori economici 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meno</w:t>
      </w:r>
      <w:r w:rsidR="00580D3B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colpiti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dal </w:t>
      </w:r>
      <w:proofErr w:type="spellStart"/>
      <w:r w:rsidR="00580D3B" w:rsidRPr="006605FF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lockdown</w:t>
      </w:r>
      <w:proofErr w:type="spellEnd"/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siano </w:t>
      </w:r>
      <w:r w:rsidR="00111E30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sanità e assistenza e lavoro domestico, 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 cui sono impiegati </w:t>
      </w:r>
      <w:r w:rsidR="00111E30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in gran parte gli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stranieri</w:t>
      </w:r>
      <w:r w:rsidR="00111E30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111E30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la preferenza dei datori di lavoro va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ai migranti</w:t>
      </w:r>
      <w:r w:rsidR="00111E30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comunitari</w:t>
      </w:r>
      <w:r w:rsidR="00D972FA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piuttosto che agli stranieri </w:t>
      </w:r>
      <w:r w:rsidR="00D972FA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extracomunitari</w:t>
      </w:r>
      <w:r w:rsidR="002A3C07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r w:rsidR="005D1587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R</w:t>
      </w:r>
      <w:r w:rsidR="003E7941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ifugiati e richiedenti asilo risultano </w:t>
      </w:r>
      <w:r w:rsidR="00C84D9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invece essere impiegati </w:t>
      </w:r>
      <w:r w:rsidR="003E7941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per il 74% in professioni a bassa qualifica (mentre gli stranieri con altri permessi di soggiorno non superano il 51%), per il 63% con contratti atipici (contro una media del 40% per gli altri stranieri) e per il 46% in agricoltura. </w:t>
      </w:r>
      <w:r w:rsidR="00F95718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In tali condizioni di forte segregazione occupazionale la loro fragilità rischia </w:t>
      </w:r>
      <w:r w:rsidR="00F9571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di </w:t>
      </w:r>
      <w:r w:rsidR="00F95718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essere ulteriormente accentuata</w:t>
      </w:r>
      <w:r w:rsidR="00F9571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da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llo</w:t>
      </w:r>
      <w:r w:rsidR="00F9571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shock esogen</w:t>
      </w:r>
      <w:r w:rsidR="00735366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o rappresenta</w:t>
      </w:r>
      <w:r w:rsid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to</w:t>
      </w:r>
      <w:r w:rsidR="00F9571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dal</w:t>
      </w:r>
      <w:r w:rsidR="00F9571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la pandemia</w:t>
      </w:r>
      <w:r w:rsidR="00E277E9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  <w:r w:rsidR="003E7941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Infine, i</w:t>
      </w:r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 contributo di Henry e </w:t>
      </w:r>
      <w:proofErr w:type="spellStart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Vernoni</w:t>
      </w:r>
      <w:proofErr w:type="spellEnd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, così come il contributo di Ippolito, </w:t>
      </w:r>
      <w:proofErr w:type="spellStart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Sabbadini</w:t>
      </w:r>
      <w:proofErr w:type="spellEnd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e </w:t>
      </w:r>
      <w:proofErr w:type="spellStart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Soggia</w:t>
      </w:r>
      <w:proofErr w:type="spellEnd"/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per il settore agricolo, hanno delineato </w:t>
      </w:r>
      <w:r w:rsidR="00E563B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alcune</w:t>
      </w:r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raccomandazioni </w:t>
      </w:r>
      <w:r w:rsidR="00E563B3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per l’elaborazione delle politiche</w:t>
      </w:r>
      <w:r w:rsidR="00F95718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,</w:t>
      </w:r>
      <w:r w:rsidR="00D212C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come ad esempio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l’accompagnamento individualizzato e la promozione di </w:t>
      </w:r>
      <w:r w:rsidR="00EF425B" w:rsidRPr="00EF425B">
        <w:rPr>
          <w:rFonts w:ascii="Arial" w:eastAsia="Times New Roman" w:hAnsi="Arial" w:cs="Arial"/>
          <w:bCs/>
          <w:iCs/>
          <w:color w:val="222222"/>
          <w:sz w:val="24"/>
          <w:szCs w:val="24"/>
          <w:lang w:eastAsia="it-IT"/>
        </w:rPr>
        <w:lastRenderedPageBreak/>
        <w:t>occasioni di incontro diretto tra domanda e offerta</w:t>
      </w:r>
      <w:r w:rsidR="00EF425B" w:rsidRP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e </w:t>
      </w:r>
      <w:r w:rsidR="00D212C8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>la costruzione di una rete sovra-regionale di collaborazione che permetta di creare condizioni di reciprocità e scambio nel collocamento della manodopera stagionale</w:t>
      </w:r>
      <w:r w:rsidR="00EF425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 in agricoltura</w:t>
      </w:r>
      <w:r w:rsidR="00EF265E" w:rsidRPr="00580D3B"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  <w:t xml:space="preserve">. </w:t>
      </w:r>
    </w:p>
    <w:p w:rsidR="003555EE" w:rsidRPr="00580D3B" w:rsidRDefault="003555EE" w:rsidP="00580D3B">
      <w:pPr>
        <w:pStyle w:val="Nessunaspaziatura"/>
        <w:pBdr>
          <w:bottom w:val="single" w:sz="6" w:space="1" w:color="auto"/>
        </w:pBdr>
        <w:spacing w:after="160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it-IT"/>
        </w:rPr>
      </w:pPr>
    </w:p>
    <w:p w:rsidR="0007478C" w:rsidRPr="00177675" w:rsidRDefault="00BB4C09" w:rsidP="00580D3B">
      <w:pPr>
        <w:pStyle w:val="Nessunaspaziatura"/>
        <w:spacing w:after="160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</w:pPr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La sessione “Innovazione sotto pressione? Il caotico sviluppo delle politiche attive del lavoro per migranti e rifugiati in Italia” si inserisce nel quadro di una serie di attività di Fieri e delle coordinatrici</w:t>
      </w:r>
      <w:r w:rsidR="008A40D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, Leila </w:t>
      </w:r>
      <w:proofErr w:type="spellStart"/>
      <w:r w:rsidR="008A40D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Giannetto</w:t>
      </w:r>
      <w:proofErr w:type="spellEnd"/>
      <w:r w:rsidR="008A40D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e Gaia </w:t>
      </w:r>
      <w:proofErr w:type="spellStart"/>
      <w:r w:rsidR="008A40D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Testore</w:t>
      </w:r>
      <w:proofErr w:type="spellEnd"/>
      <w:r w:rsidR="008A40D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, </w:t>
      </w:r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sul tema. Di particolare rilevanza il progetto </w:t>
      </w:r>
      <w:proofErr w:type="spellStart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Labour-Int</w:t>
      </w:r>
      <w:proofErr w:type="spellEnd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, progetto FAMI europeo iniziato nel 2016 e oggi alla </w:t>
      </w:r>
      <w:hyperlink r:id="rId14" w:history="1"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seconda edizione</w:t>
        </w:r>
      </w:hyperlink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, che si occupa dell’integrazione dei migranti nel mercato del lavoro con un approccio </w:t>
      </w:r>
      <w:proofErr w:type="spellStart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multi-stakeholder</w:t>
      </w:r>
      <w:proofErr w:type="spellEnd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. </w:t>
      </w:r>
      <w:proofErr w:type="spellStart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Labour</w:t>
      </w:r>
      <w:proofErr w:type="spellEnd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int</w:t>
      </w:r>
      <w:proofErr w:type="spellEnd"/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è stato e continua ad essere un laboratorio in cui vengono affrontati in particolare il tema della valutazione e valorizzazione delle competenze di rifugiati e migranti, e all’interno del quale Fieri si occupa di valutazione dell’implementazione dello </w:t>
      </w:r>
      <w:r w:rsidR="00623A44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EU </w:t>
      </w:r>
      <w:hyperlink r:id="rId15" w:history="1"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Skills</w:t>
        </w:r>
        <w:proofErr w:type="spellEnd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Profile</w:t>
        </w:r>
        <w:proofErr w:type="spellEnd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T</w:t>
        </w:r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ool</w:t>
        </w:r>
        <w:proofErr w:type="spellEnd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for</w:t>
        </w:r>
        <w:proofErr w:type="spellEnd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T</w:t>
        </w:r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hird</w:t>
        </w:r>
        <w:proofErr w:type="spellEnd"/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Country</w:t>
        </w:r>
        <w:proofErr w:type="spellEnd"/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="00623A44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Nationals</w:t>
        </w:r>
        <w:proofErr w:type="spellEnd"/>
      </w:hyperlink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della Commissione Europea e della mappatura delle esperienze in ambito ICT che favoriscono l’inserimento di rifugiati e migranti. Le coordinatrici si sono occupate singolarmente anche della raccolta ed analisi di esperienze e buone pratiche di integrazione socio-lavorativa sia a livello italiano</w:t>
      </w:r>
      <w:r w:rsidR="007A1A3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che a livello europeo. A livello italiano vengono costantemente raccolte ed aggiornate esperienze per lo</w:t>
      </w:r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</w:t>
      </w:r>
      <w:hyperlink r:id="rId16" w:history="1"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European</w:t>
        </w:r>
        <w:proofErr w:type="spellEnd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Web Site on </w:t>
        </w:r>
        <w:proofErr w:type="spellStart"/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Integ</w:t>
        </w:r>
        <w:r w:rsidR="007A1A3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r</w:t>
        </w:r>
        <w:r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ation</w:t>
        </w:r>
        <w:proofErr w:type="spellEnd"/>
      </w:hyperlink>
      <w:r w:rsidR="007A1A3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, mentre si stanno analizzando nello specifico le esperienze </w:t>
      </w:r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avviate in</w:t>
      </w:r>
      <w:r w:rsidR="007A1A3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aree extra-urbane</w:t>
      </w:r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/interne</w:t>
      </w:r>
      <w:r w:rsidR="007A1A3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attraverso il progetto H2020 </w:t>
      </w:r>
      <w:hyperlink r:id="rId17" w:history="1">
        <w:proofErr w:type="spellStart"/>
        <w:r w:rsidR="007A1A3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Welcoming</w:t>
        </w:r>
        <w:proofErr w:type="spellEnd"/>
        <w:r w:rsidR="007A1A3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 xml:space="preserve"> </w:t>
        </w:r>
        <w:proofErr w:type="spellStart"/>
        <w:r w:rsidR="007A1A3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Spaces</w:t>
        </w:r>
        <w:proofErr w:type="spellEnd"/>
      </w:hyperlink>
      <w:r w:rsidR="007A1A3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e il progetto </w:t>
      </w:r>
      <w:hyperlink r:id="rId18" w:history="1">
        <w:r w:rsidR="007A1A3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MIGLIORA</w:t>
        </w:r>
      </w:hyperlink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. Si segnalano infine i </w:t>
      </w:r>
      <w:hyperlink r:id="rId19" w:history="1">
        <w:r w:rsidR="0031212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lavori prodotti</w:t>
        </w:r>
      </w:hyperlink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</w:t>
      </w:r>
      <w:hyperlink r:id="rId20" w:history="1">
        <w:r w:rsidR="0031212B" w:rsidRPr="00177675">
          <w:rPr>
            <w:rStyle w:val="Collegamentoipertestuale"/>
            <w:rFonts w:ascii="Arial" w:eastAsia="Times New Roman" w:hAnsi="Arial" w:cs="Arial"/>
            <w:iCs/>
            <w:sz w:val="20"/>
            <w:szCs w:val="20"/>
            <w:lang w:eastAsia="it-IT"/>
          </w:rPr>
          <w:t>per OCSE</w:t>
        </w:r>
      </w:hyperlink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e la consulenza per IOM per uno studio</w:t>
      </w:r>
      <w:r w:rsidR="00D6068F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delle pratiche di inserimento lavorativo di rifugiati in Italia e in Europa</w:t>
      </w:r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finanziato dalla Commissione Europea </w:t>
      </w:r>
      <w:r w:rsidR="00D6068F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>per l’implementazione del</w:t>
      </w:r>
      <w:r w:rsidR="0031212B"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Piano Nazionale Integrazione per Titolari di Protezione Internazionale.</w:t>
      </w:r>
      <w:r w:rsidRPr="00177675">
        <w:rPr>
          <w:rFonts w:ascii="Arial" w:eastAsia="Times New Roman" w:hAnsi="Arial" w:cs="Arial"/>
          <w:iCs/>
          <w:color w:val="222222"/>
          <w:sz w:val="20"/>
          <w:szCs w:val="20"/>
          <w:lang w:eastAsia="it-IT"/>
        </w:rPr>
        <w:t xml:space="preserve"> </w:t>
      </w:r>
    </w:p>
    <w:sectPr w:rsidR="0007478C" w:rsidRPr="00177675" w:rsidSect="00875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126"/>
    <w:multiLevelType w:val="hybridMultilevel"/>
    <w:tmpl w:val="B6EC324C"/>
    <w:lvl w:ilvl="0" w:tplc="9C668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42499B"/>
    <w:rsid w:val="000047ED"/>
    <w:rsid w:val="00012901"/>
    <w:rsid w:val="00033422"/>
    <w:rsid w:val="00066916"/>
    <w:rsid w:val="0007478C"/>
    <w:rsid w:val="000A7FC4"/>
    <w:rsid w:val="000B77A1"/>
    <w:rsid w:val="000E4A93"/>
    <w:rsid w:val="00111E30"/>
    <w:rsid w:val="00137FB4"/>
    <w:rsid w:val="00177675"/>
    <w:rsid w:val="001A79A9"/>
    <w:rsid w:val="001B327B"/>
    <w:rsid w:val="00284502"/>
    <w:rsid w:val="00284C48"/>
    <w:rsid w:val="00291886"/>
    <w:rsid w:val="00293C05"/>
    <w:rsid w:val="002A3C07"/>
    <w:rsid w:val="003110FC"/>
    <w:rsid w:val="0031212B"/>
    <w:rsid w:val="00337993"/>
    <w:rsid w:val="003555EE"/>
    <w:rsid w:val="003E1515"/>
    <w:rsid w:val="003E7941"/>
    <w:rsid w:val="0042499B"/>
    <w:rsid w:val="00424D7F"/>
    <w:rsid w:val="00434B9B"/>
    <w:rsid w:val="00471E00"/>
    <w:rsid w:val="004C0F17"/>
    <w:rsid w:val="00535A05"/>
    <w:rsid w:val="00580D3B"/>
    <w:rsid w:val="00591FCD"/>
    <w:rsid w:val="005D1587"/>
    <w:rsid w:val="00607E1A"/>
    <w:rsid w:val="00623A44"/>
    <w:rsid w:val="00651185"/>
    <w:rsid w:val="006605FF"/>
    <w:rsid w:val="00664209"/>
    <w:rsid w:val="007257BB"/>
    <w:rsid w:val="00731744"/>
    <w:rsid w:val="00735366"/>
    <w:rsid w:val="00785566"/>
    <w:rsid w:val="007A1A3B"/>
    <w:rsid w:val="007B6860"/>
    <w:rsid w:val="00800D91"/>
    <w:rsid w:val="00806A88"/>
    <w:rsid w:val="00863AAC"/>
    <w:rsid w:val="008751DC"/>
    <w:rsid w:val="00891176"/>
    <w:rsid w:val="008A3A13"/>
    <w:rsid w:val="008A40DB"/>
    <w:rsid w:val="0092051E"/>
    <w:rsid w:val="00973EDE"/>
    <w:rsid w:val="0098280B"/>
    <w:rsid w:val="009D211C"/>
    <w:rsid w:val="009E640E"/>
    <w:rsid w:val="00A00683"/>
    <w:rsid w:val="00A378C2"/>
    <w:rsid w:val="00A53EAA"/>
    <w:rsid w:val="00AD6196"/>
    <w:rsid w:val="00B20B4B"/>
    <w:rsid w:val="00BB1A03"/>
    <w:rsid w:val="00BB4C09"/>
    <w:rsid w:val="00BC7985"/>
    <w:rsid w:val="00BD2163"/>
    <w:rsid w:val="00C84D9B"/>
    <w:rsid w:val="00D212C8"/>
    <w:rsid w:val="00D6068F"/>
    <w:rsid w:val="00D972FA"/>
    <w:rsid w:val="00E00646"/>
    <w:rsid w:val="00E102DD"/>
    <w:rsid w:val="00E277E9"/>
    <w:rsid w:val="00E563B3"/>
    <w:rsid w:val="00E6752A"/>
    <w:rsid w:val="00EA1189"/>
    <w:rsid w:val="00EA1304"/>
    <w:rsid w:val="00ED7AF8"/>
    <w:rsid w:val="00EF265E"/>
    <w:rsid w:val="00EF425B"/>
    <w:rsid w:val="00F20A5E"/>
    <w:rsid w:val="00F22ED5"/>
    <w:rsid w:val="00F95718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7B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53E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3E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3E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3E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3EAA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A00683"/>
    <w:pPr>
      <w:spacing w:after="0" w:line="240" w:lineRule="auto"/>
    </w:pPr>
  </w:style>
  <w:style w:type="paragraph" w:styleId="Revisione">
    <w:name w:val="Revision"/>
    <w:hidden/>
    <w:uiPriority w:val="99"/>
    <w:semiHidden/>
    <w:rsid w:val="0092051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23A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o.gov.it/sites/default/files/2020-08/dlci_-_analisi_dati_emersione_15082020_ore_24.pdf" TargetMode="External"/><Relationship Id="rId13" Type="http://schemas.openxmlformats.org/officeDocument/2006/relationships/hyperlink" Target="http://ceaseval.eu/publications/WP3_Italy.pdf" TargetMode="External"/><Relationship Id="rId18" Type="http://schemas.openxmlformats.org/officeDocument/2006/relationships/hyperlink" Target="https://www.formazione-migliora.i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fieri.it/2016/12/14/labour-market-integration-of-migrants-a-multi-stakeholder-approach-labour-int/" TargetMode="External"/><Relationship Id="rId12" Type="http://schemas.openxmlformats.org/officeDocument/2006/relationships/hyperlink" Target="http://www.carocci.it/index.php?option=com_carocci&amp;task=schedalibro&amp;Itemid=72&amp;isbn=9788843053742" TargetMode="External"/><Relationship Id="rId17" Type="http://schemas.openxmlformats.org/officeDocument/2006/relationships/hyperlink" Target="https://www.welcomingspaces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migrant-integration/" TargetMode="External"/><Relationship Id="rId20" Type="http://schemas.openxmlformats.org/officeDocument/2006/relationships/hyperlink" Target="https://doi.org/10.1787/434c3303-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home-affairs/what-we-do/policies/legal-migration/integration/integration-labour-market_en" TargetMode="External"/><Relationship Id="rId11" Type="http://schemas.openxmlformats.org/officeDocument/2006/relationships/hyperlink" Target="https://www.interno.gov.it/sites/default/files/piano-nazionale-integrazio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social/main.jsp?langId=en&amp;catId=1412" TargetMode="External"/><Relationship Id="rId10" Type="http://schemas.openxmlformats.org/officeDocument/2006/relationships/hyperlink" Target="https://www.espanet-italia.net/wp-content/uploads/2020/09/XIII-Conferenza-ESPAnet-Italia-Programma-completo-20200914.pdf" TargetMode="External"/><Relationship Id="rId19" Type="http://schemas.openxmlformats.org/officeDocument/2006/relationships/hyperlink" Target="https://doi.org/10.1787/84043b2a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voce.info/archives/66360/lavoratori-stranieri-con-tre-svantaggi-in-piu-nella-fase-2/" TargetMode="External"/><Relationship Id="rId14" Type="http://schemas.openxmlformats.org/officeDocument/2006/relationships/hyperlink" Target="http://www.labour-int.eu/the-labour-int-project-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BA68-FFB9-4A4A-9015-FD9D21D3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giannetto</dc:creator>
  <cp:keywords/>
  <dc:description/>
  <cp:lastModifiedBy>Gaia Testore</cp:lastModifiedBy>
  <cp:revision>3</cp:revision>
  <dcterms:created xsi:type="dcterms:W3CDTF">2020-10-12T17:26:00Z</dcterms:created>
  <dcterms:modified xsi:type="dcterms:W3CDTF">2020-10-13T08:49:00Z</dcterms:modified>
</cp:coreProperties>
</file>